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41" w:rsidRPr="003F57B0" w:rsidRDefault="00404241" w:rsidP="003F57B0">
      <w:pPr>
        <w:jc w:val="center"/>
        <w:rPr>
          <w:rFonts w:ascii="Arial Narrow" w:hAnsi="Arial Narrow"/>
          <w:b/>
          <w:i/>
          <w:sz w:val="24"/>
          <w:szCs w:val="24"/>
        </w:rPr>
      </w:pPr>
      <w:r w:rsidRPr="00404241">
        <w:rPr>
          <w:rFonts w:ascii="Arial Narrow" w:hAnsi="Arial Narrow"/>
          <w:b/>
          <w:i/>
          <w:sz w:val="24"/>
          <w:szCs w:val="24"/>
        </w:rPr>
        <w:t>Lista projektów zaopiniowanych negatywnie.</w:t>
      </w:r>
    </w:p>
    <w:tbl>
      <w:tblPr>
        <w:tblStyle w:val="Tabela-Siatka"/>
        <w:tblW w:w="10201" w:type="dxa"/>
        <w:tblLook w:val="04A0" w:firstRow="1" w:lastRow="0" w:firstColumn="1" w:lastColumn="0" w:noHBand="0" w:noVBand="1"/>
      </w:tblPr>
      <w:tblGrid>
        <w:gridCol w:w="602"/>
        <w:gridCol w:w="1606"/>
        <w:gridCol w:w="2182"/>
        <w:gridCol w:w="1275"/>
        <w:gridCol w:w="1134"/>
        <w:gridCol w:w="3402"/>
      </w:tblGrid>
      <w:tr w:rsidR="00404241" w:rsidRPr="00404241" w:rsidTr="00404241">
        <w:trPr>
          <w:trHeight w:val="1020"/>
        </w:trPr>
        <w:tc>
          <w:tcPr>
            <w:tcW w:w="602" w:type="dxa"/>
            <w:vAlign w:val="center"/>
            <w:hideMark/>
          </w:tcPr>
          <w:p w:rsidR="00404241" w:rsidRPr="00404241" w:rsidRDefault="00404241" w:rsidP="00404241">
            <w:pPr>
              <w:jc w:val="center"/>
              <w:rPr>
                <w:rFonts w:ascii="Arial Narrow" w:hAnsi="Arial Narrow"/>
                <w:b/>
                <w:bCs/>
                <w:i/>
                <w:iCs/>
                <w:sz w:val="24"/>
                <w:szCs w:val="24"/>
              </w:rPr>
            </w:pPr>
            <w:r w:rsidRPr="00404241">
              <w:rPr>
                <w:rFonts w:ascii="Arial Narrow" w:hAnsi="Arial Narrow"/>
                <w:b/>
                <w:bCs/>
                <w:i/>
                <w:iCs/>
                <w:sz w:val="24"/>
                <w:szCs w:val="24"/>
              </w:rPr>
              <w:t>Lp.</w:t>
            </w:r>
          </w:p>
        </w:tc>
        <w:tc>
          <w:tcPr>
            <w:tcW w:w="1606" w:type="dxa"/>
            <w:vAlign w:val="center"/>
            <w:hideMark/>
          </w:tcPr>
          <w:p w:rsidR="00404241" w:rsidRPr="00404241" w:rsidRDefault="00404241" w:rsidP="00404241">
            <w:pPr>
              <w:jc w:val="center"/>
              <w:rPr>
                <w:rFonts w:ascii="Arial Narrow" w:hAnsi="Arial Narrow"/>
                <w:b/>
                <w:bCs/>
                <w:i/>
                <w:iCs/>
                <w:sz w:val="24"/>
                <w:szCs w:val="24"/>
              </w:rPr>
            </w:pPr>
            <w:r w:rsidRPr="00404241">
              <w:rPr>
                <w:rFonts w:ascii="Arial Narrow" w:hAnsi="Arial Narrow"/>
                <w:b/>
                <w:bCs/>
                <w:i/>
                <w:iCs/>
                <w:sz w:val="24"/>
                <w:szCs w:val="24"/>
              </w:rPr>
              <w:t>Imię i nazwisko wnioskodawcy</w:t>
            </w:r>
          </w:p>
        </w:tc>
        <w:tc>
          <w:tcPr>
            <w:tcW w:w="2182" w:type="dxa"/>
            <w:vAlign w:val="center"/>
            <w:hideMark/>
          </w:tcPr>
          <w:p w:rsidR="00404241" w:rsidRPr="00404241" w:rsidRDefault="00404241" w:rsidP="00404241">
            <w:pPr>
              <w:jc w:val="center"/>
              <w:rPr>
                <w:rFonts w:ascii="Arial Narrow" w:hAnsi="Arial Narrow"/>
                <w:b/>
                <w:bCs/>
                <w:i/>
                <w:iCs/>
                <w:sz w:val="24"/>
                <w:szCs w:val="24"/>
              </w:rPr>
            </w:pPr>
            <w:r w:rsidRPr="00404241">
              <w:rPr>
                <w:rFonts w:ascii="Arial Narrow" w:hAnsi="Arial Narrow"/>
                <w:b/>
                <w:bCs/>
                <w:i/>
                <w:iCs/>
                <w:sz w:val="24"/>
                <w:szCs w:val="24"/>
              </w:rPr>
              <w:t>Tytuł zadania</w:t>
            </w:r>
          </w:p>
        </w:tc>
        <w:tc>
          <w:tcPr>
            <w:tcW w:w="1275" w:type="dxa"/>
            <w:vAlign w:val="center"/>
            <w:hideMark/>
          </w:tcPr>
          <w:p w:rsidR="00404241" w:rsidRPr="00404241" w:rsidRDefault="00404241" w:rsidP="00404241">
            <w:pPr>
              <w:jc w:val="center"/>
              <w:rPr>
                <w:rFonts w:ascii="Arial Narrow" w:hAnsi="Arial Narrow"/>
                <w:b/>
                <w:bCs/>
                <w:i/>
                <w:iCs/>
                <w:sz w:val="24"/>
                <w:szCs w:val="24"/>
              </w:rPr>
            </w:pPr>
            <w:r w:rsidRPr="00404241">
              <w:rPr>
                <w:rFonts w:ascii="Arial Narrow" w:hAnsi="Arial Narrow"/>
                <w:b/>
                <w:bCs/>
                <w:i/>
                <w:iCs/>
                <w:sz w:val="24"/>
                <w:szCs w:val="24"/>
              </w:rPr>
              <w:t>Kwota/ MIASTO</w:t>
            </w:r>
          </w:p>
        </w:tc>
        <w:tc>
          <w:tcPr>
            <w:tcW w:w="1134" w:type="dxa"/>
            <w:vAlign w:val="center"/>
            <w:hideMark/>
          </w:tcPr>
          <w:p w:rsidR="00404241" w:rsidRPr="00404241" w:rsidRDefault="00404241" w:rsidP="00404241">
            <w:pPr>
              <w:jc w:val="center"/>
              <w:rPr>
                <w:rFonts w:ascii="Arial Narrow" w:hAnsi="Arial Narrow"/>
                <w:b/>
                <w:bCs/>
                <w:i/>
                <w:iCs/>
                <w:sz w:val="24"/>
                <w:szCs w:val="24"/>
              </w:rPr>
            </w:pPr>
            <w:r w:rsidRPr="00404241">
              <w:rPr>
                <w:rFonts w:ascii="Arial Narrow" w:hAnsi="Arial Narrow"/>
                <w:b/>
                <w:bCs/>
                <w:i/>
                <w:iCs/>
                <w:sz w:val="24"/>
                <w:szCs w:val="24"/>
              </w:rPr>
              <w:t>Kwota/ WIEŚ</w:t>
            </w:r>
          </w:p>
        </w:tc>
        <w:tc>
          <w:tcPr>
            <w:tcW w:w="3402" w:type="dxa"/>
            <w:vAlign w:val="center"/>
            <w:hideMark/>
          </w:tcPr>
          <w:p w:rsidR="00404241" w:rsidRPr="00404241" w:rsidRDefault="00404241" w:rsidP="00404241">
            <w:pPr>
              <w:jc w:val="center"/>
              <w:rPr>
                <w:rFonts w:ascii="Arial Narrow" w:hAnsi="Arial Narrow"/>
                <w:b/>
                <w:bCs/>
                <w:i/>
                <w:iCs/>
                <w:sz w:val="24"/>
                <w:szCs w:val="24"/>
              </w:rPr>
            </w:pPr>
            <w:r w:rsidRPr="00404241">
              <w:rPr>
                <w:rFonts w:ascii="Arial Narrow" w:hAnsi="Arial Narrow"/>
                <w:b/>
                <w:bCs/>
                <w:i/>
                <w:iCs/>
                <w:sz w:val="24"/>
                <w:szCs w:val="24"/>
              </w:rPr>
              <w:t>Uwagi zespołu</w:t>
            </w:r>
          </w:p>
        </w:tc>
      </w:tr>
      <w:tr w:rsidR="00404241" w:rsidRPr="00404241" w:rsidTr="003F57B0">
        <w:trPr>
          <w:trHeight w:val="2036"/>
        </w:trPr>
        <w:tc>
          <w:tcPr>
            <w:tcW w:w="602" w:type="dxa"/>
            <w:hideMark/>
          </w:tcPr>
          <w:p w:rsidR="00404241" w:rsidRPr="00404241" w:rsidRDefault="00404241" w:rsidP="00404241">
            <w:pPr>
              <w:rPr>
                <w:rFonts w:ascii="Arial Narrow" w:hAnsi="Arial Narrow"/>
                <w:i/>
                <w:iCs/>
              </w:rPr>
            </w:pPr>
            <w:r>
              <w:rPr>
                <w:rFonts w:ascii="Arial Narrow" w:hAnsi="Arial Narrow"/>
                <w:i/>
                <w:iCs/>
              </w:rPr>
              <w:t>1</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 xml:space="preserve">Grażyna </w:t>
            </w:r>
            <w:proofErr w:type="spellStart"/>
            <w:r w:rsidRPr="00404241">
              <w:rPr>
                <w:rFonts w:ascii="Arial Narrow" w:hAnsi="Arial Narrow"/>
                <w:i/>
                <w:iCs/>
              </w:rPr>
              <w:t>Palak</w:t>
            </w:r>
            <w:proofErr w:type="spellEnd"/>
            <w:r w:rsidRPr="00404241">
              <w:rPr>
                <w:rFonts w:ascii="Arial Narrow" w:hAnsi="Arial Narrow"/>
                <w:i/>
                <w:iCs/>
              </w:rPr>
              <w:t xml:space="preserve"> - Belt</w:t>
            </w:r>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Oświetlenie drogi przy Rodzinnych Ogrodach działkowych im." Waltera" w Świeciu</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74 000,00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 xml:space="preserve">Opinia negatywna. Projekt jest w dużym stopniu niedoszacowany, nie został zaliczony koszt projektu technicznego, który wymaga uzgodnień z instytucjami publicznymi. Ponadto należy zaprojektować złącze elektroenergetyczne z ENEA Świecie. Projekty i wykonanie zadania nie jest możliwe w ciągu jednego roku. </w:t>
            </w:r>
          </w:p>
        </w:tc>
      </w:tr>
      <w:tr w:rsidR="00404241" w:rsidRPr="00404241" w:rsidTr="003F57B0">
        <w:trPr>
          <w:trHeight w:val="2406"/>
        </w:trPr>
        <w:tc>
          <w:tcPr>
            <w:tcW w:w="602" w:type="dxa"/>
            <w:hideMark/>
          </w:tcPr>
          <w:p w:rsidR="00404241" w:rsidRPr="00404241" w:rsidRDefault="00404241" w:rsidP="00404241">
            <w:pPr>
              <w:rPr>
                <w:rFonts w:ascii="Arial Narrow" w:hAnsi="Arial Narrow"/>
                <w:i/>
                <w:iCs/>
              </w:rPr>
            </w:pPr>
            <w:r>
              <w:rPr>
                <w:rFonts w:ascii="Arial Narrow" w:hAnsi="Arial Narrow"/>
                <w:i/>
                <w:iCs/>
              </w:rPr>
              <w:t>2</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 xml:space="preserve">Sebastian </w:t>
            </w:r>
            <w:proofErr w:type="spellStart"/>
            <w:r w:rsidRPr="00404241">
              <w:rPr>
                <w:rFonts w:ascii="Arial Narrow" w:hAnsi="Arial Narrow"/>
                <w:i/>
                <w:iCs/>
              </w:rPr>
              <w:t>Podlejski</w:t>
            </w:r>
            <w:proofErr w:type="spellEnd"/>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1000 Czerwonych dębów dla Gminy Świecie</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21 000,00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Złożony projekt nie zawiera oświadczeń o  gotowości współpracy z 1000 mieszkańców Świecia. Z  każdym mieszkańcem, który otrzymałby drzewo należy podpisać umowę, że zachowa żywotność drzewa w okresie 3-5 lat. Ponadto Gmina zadrzewia swoje tereny corocznie przy okazji pikników rodzinnych, konkursów ekologicznych oraz innych akcji p.n. "Posadź swoje drzewo".</w:t>
            </w:r>
          </w:p>
        </w:tc>
      </w:tr>
      <w:tr w:rsidR="00404241" w:rsidRPr="00404241" w:rsidTr="003F57B0">
        <w:trPr>
          <w:trHeight w:val="2979"/>
        </w:trPr>
        <w:tc>
          <w:tcPr>
            <w:tcW w:w="602" w:type="dxa"/>
            <w:hideMark/>
          </w:tcPr>
          <w:p w:rsidR="00404241" w:rsidRPr="00404241" w:rsidRDefault="00404241" w:rsidP="00404241">
            <w:pPr>
              <w:rPr>
                <w:rFonts w:ascii="Arial Narrow" w:hAnsi="Arial Narrow"/>
                <w:i/>
                <w:iCs/>
              </w:rPr>
            </w:pPr>
            <w:r>
              <w:rPr>
                <w:rFonts w:ascii="Arial Narrow" w:hAnsi="Arial Narrow"/>
                <w:i/>
                <w:iCs/>
              </w:rPr>
              <w:t>3</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Adam Jaroch</w:t>
            </w:r>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Deratyzacja obiektów użyteczności publicznej oraz budynków socjalnych w Gminie Świecie</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75 000,00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Nie przedstawiany został szczegółowy harmonogram realizacji zadania, nie zostały podanie dokładne miejsca, w których postawione będą stacje deratyzacyjne, brak zgody właścicieli nieruchomości, na których będą umieszczone stacje, zgoda taka jest wymagana. Nie został również określony odpowiedzialny za przeprowadzenie deratyzacji, ale jedynie firma, która przeprowadziłaby deratyzację, ale która nie wyraziła zgody na realizację projektu.</w:t>
            </w:r>
          </w:p>
        </w:tc>
      </w:tr>
      <w:tr w:rsidR="00404241" w:rsidRPr="00404241" w:rsidTr="00404241">
        <w:trPr>
          <w:trHeight w:val="3109"/>
        </w:trPr>
        <w:tc>
          <w:tcPr>
            <w:tcW w:w="602" w:type="dxa"/>
            <w:hideMark/>
          </w:tcPr>
          <w:p w:rsidR="00404241" w:rsidRPr="00404241" w:rsidRDefault="00404241" w:rsidP="00404241">
            <w:pPr>
              <w:rPr>
                <w:rFonts w:ascii="Arial Narrow" w:hAnsi="Arial Narrow"/>
                <w:i/>
                <w:iCs/>
              </w:rPr>
            </w:pPr>
            <w:r>
              <w:rPr>
                <w:rFonts w:ascii="Arial Narrow" w:hAnsi="Arial Narrow"/>
                <w:i/>
                <w:iCs/>
              </w:rPr>
              <w:t>4</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 xml:space="preserve">Monika </w:t>
            </w:r>
            <w:proofErr w:type="spellStart"/>
            <w:r w:rsidRPr="00404241">
              <w:rPr>
                <w:rFonts w:ascii="Arial Narrow" w:hAnsi="Arial Narrow"/>
                <w:i/>
                <w:iCs/>
              </w:rPr>
              <w:t>Urman</w:t>
            </w:r>
            <w:proofErr w:type="spellEnd"/>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Zakup umundurowania galowego dla OSP Ratownik</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10 000,00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Umundurowanie galowe strażaka stanowi indywidualne wyposażeniem i nie stanowi przedmiotu użyteczności publicznej. Działania strażaków są realizowane na rzecz ludności i niosą pomoc w ratowaniu ich mienia i życia lecz nie w  umundurowaniu galowym.  Przepis w Uchwale Nr 85/19 Rady Miejskiej w Świeciu z dnia 11 lipca 2019 roku § 6 pkt 6.</w:t>
            </w:r>
          </w:p>
        </w:tc>
      </w:tr>
      <w:tr w:rsidR="00404241" w:rsidRPr="00404241" w:rsidTr="00404241">
        <w:trPr>
          <w:trHeight w:val="2953"/>
        </w:trPr>
        <w:tc>
          <w:tcPr>
            <w:tcW w:w="602" w:type="dxa"/>
            <w:hideMark/>
          </w:tcPr>
          <w:p w:rsidR="00404241" w:rsidRPr="00404241" w:rsidRDefault="00404241" w:rsidP="00404241">
            <w:pPr>
              <w:rPr>
                <w:rFonts w:ascii="Arial Narrow" w:hAnsi="Arial Narrow"/>
                <w:i/>
                <w:iCs/>
              </w:rPr>
            </w:pPr>
            <w:r>
              <w:rPr>
                <w:rFonts w:ascii="Arial Narrow" w:hAnsi="Arial Narrow"/>
                <w:i/>
                <w:iCs/>
              </w:rPr>
              <w:lastRenderedPageBreak/>
              <w:t>5</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Marcin Borucki</w:t>
            </w:r>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Wykonanie drenażu ziemnego przy remizie Ochotniczej Straży Pożarnej Ratownik</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100 000,00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Zadanie jest trudne do oszacowania kosztów , ponieważ bez badań geologicznych i dokładnej analizy kosztów i koniecznych prac naprawczych nie można przyjąć wstępnego szacunku kosztów. Ponadto obiekt jest na gwarancji i to wykonawca musi ocenić czy jest to wada budowlana obiektu czy też wada projektu. Na tym etapie sam kosztorys nie wystarczy.</w:t>
            </w:r>
          </w:p>
        </w:tc>
      </w:tr>
      <w:tr w:rsidR="00404241" w:rsidRPr="00404241" w:rsidTr="00404241">
        <w:trPr>
          <w:trHeight w:val="4440"/>
        </w:trPr>
        <w:tc>
          <w:tcPr>
            <w:tcW w:w="602" w:type="dxa"/>
            <w:hideMark/>
          </w:tcPr>
          <w:p w:rsidR="00404241" w:rsidRPr="00404241" w:rsidRDefault="00404241" w:rsidP="00404241">
            <w:pPr>
              <w:rPr>
                <w:rFonts w:ascii="Arial Narrow" w:hAnsi="Arial Narrow"/>
                <w:i/>
                <w:iCs/>
              </w:rPr>
            </w:pPr>
            <w:r>
              <w:rPr>
                <w:rFonts w:ascii="Arial Narrow" w:hAnsi="Arial Narrow"/>
                <w:i/>
                <w:iCs/>
              </w:rPr>
              <w:t>6</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Wspólnota mieszkaniowa przy ul. Sądowej 18 w Świeciu</w:t>
            </w:r>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Poprawa bezpieczeństwa mieszkańców w Świeciu, powiatu i turystów z woj. kuj  - pom.-Modernizacja schodów na tzw. Skarpie w kierunku Diabelec i ścieżki dydaktycznej w Świeciu</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65 000,00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Projekt zawiera wady formalne, z powodu braku uchwały wspólnoty w sprawie wyrażenia zgody na realizację niniejszego projektu, nie wskazana została osoba do reprezentowania Wspólnoty na zewnątrz. Nie zostały przedstawione oświadczenia o gotowości współpracy z Szpitalem Wojewódzkim i Urzędem Marszałkowskim. Ponadto nie został prawidłowo wskazany szacunkowy koszt zadania z podziałem na części składowe, co uniemożliwia stwierdzenie, czy projek</w:t>
            </w:r>
            <w:r w:rsidR="004B7A43" w:rsidRPr="003F57B0">
              <w:rPr>
                <w:rFonts w:ascii="Arial Narrow" w:hAnsi="Arial Narrow"/>
                <w:i/>
                <w:iCs/>
                <w:sz w:val="20"/>
                <w:szCs w:val="20"/>
              </w:rPr>
              <w:t>t jest możliwy do zrealizowania, czy nie jest możliwy.</w:t>
            </w:r>
          </w:p>
        </w:tc>
      </w:tr>
      <w:tr w:rsidR="00404241" w:rsidRPr="00404241" w:rsidTr="003F57B0">
        <w:trPr>
          <w:trHeight w:val="6935"/>
        </w:trPr>
        <w:tc>
          <w:tcPr>
            <w:tcW w:w="602" w:type="dxa"/>
            <w:hideMark/>
          </w:tcPr>
          <w:p w:rsidR="00404241" w:rsidRPr="00404241" w:rsidRDefault="00404241" w:rsidP="00404241">
            <w:pPr>
              <w:rPr>
                <w:rFonts w:ascii="Arial Narrow" w:hAnsi="Arial Narrow"/>
                <w:i/>
                <w:iCs/>
              </w:rPr>
            </w:pPr>
            <w:r>
              <w:rPr>
                <w:rFonts w:ascii="Arial Narrow" w:hAnsi="Arial Narrow"/>
                <w:i/>
                <w:iCs/>
              </w:rPr>
              <w:t>7</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 xml:space="preserve">Beata </w:t>
            </w:r>
            <w:proofErr w:type="spellStart"/>
            <w:r w:rsidRPr="00404241">
              <w:rPr>
                <w:rFonts w:ascii="Arial Narrow" w:hAnsi="Arial Narrow"/>
                <w:i/>
                <w:iCs/>
              </w:rPr>
              <w:t>Fifielska</w:t>
            </w:r>
            <w:proofErr w:type="spellEnd"/>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Prosta postawa - kluczowa sprawa!- przesiewowe badanie wad postawy u dzieci w wieku wczesnoszkolnym, (0-III) i szkolnym (IV-VI) z wykorzystaniem innowacyjnych urządzeń diagnostycznych</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247 767,00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Program w swojej treści zawiera przede wszystkim badania przesiewowe zakresie profilaktyki wad o obrębie kończyn dolnych, kręgosłupa i analizy składu ciała, takie badania realizuje z powodzeniem Miejska - Gminna Przychodnia w Świeciu. Obecnie ocena postawy ciała młodzieży jest dokonywana podczas badań bilansowych w poszczególnych przedziałach wiekowych. Problem dzieci i młodzieży z wadą postawy leży przede wszystkim w dotarciu do rodziców, którzy znają wady swoich dzieci, ale nie podejmują stosownych reakcji. Tu należało by się skoncentrować na dotarciu do rodziców i przekonaniu ich o konieczności podjęci stosownych działań. Stosując się do przepisów Uchwały Nr 85/19 Rady Miejskiej w Świeciu z dnia 11 lipca 2019 roku w sprawie Budżetu obywatelskiego gminy Świecie wysoki koszt realizacji zadania w szczególności w zakresie badań przesiewowych jest niezgodny z zasadami racjonalności gospodarowania środkami publicznymi - § 6 pkt 12.</w:t>
            </w:r>
          </w:p>
        </w:tc>
      </w:tr>
      <w:tr w:rsidR="00404241" w:rsidRPr="00404241" w:rsidTr="003F57B0">
        <w:trPr>
          <w:trHeight w:val="4384"/>
        </w:trPr>
        <w:tc>
          <w:tcPr>
            <w:tcW w:w="602" w:type="dxa"/>
            <w:hideMark/>
          </w:tcPr>
          <w:p w:rsidR="00404241" w:rsidRPr="00404241" w:rsidRDefault="00404241" w:rsidP="00404241">
            <w:pPr>
              <w:rPr>
                <w:rFonts w:ascii="Arial Narrow" w:hAnsi="Arial Narrow"/>
                <w:i/>
                <w:iCs/>
              </w:rPr>
            </w:pPr>
            <w:r>
              <w:rPr>
                <w:rFonts w:ascii="Arial Narrow" w:hAnsi="Arial Narrow"/>
                <w:i/>
                <w:iCs/>
              </w:rPr>
              <w:lastRenderedPageBreak/>
              <w:t>8</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Tomas</w:t>
            </w:r>
            <w:bookmarkStart w:id="0" w:name="_GoBack"/>
            <w:bookmarkEnd w:id="0"/>
            <w:r w:rsidRPr="00404241">
              <w:rPr>
                <w:rFonts w:ascii="Arial Narrow" w:hAnsi="Arial Narrow"/>
                <w:i/>
                <w:iCs/>
              </w:rPr>
              <w:t>z Pasiek</w:t>
            </w:r>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Wydanie albumu książkowego " Świecka Sztuka"</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38 000,00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Projekt pod nazwą "Wydanie Albumu Książkowego "Świecka Sztuka" jest niepełny nie zawiera gotowego projektu albumu nie można ocenić zawartości, ponieważ przedstawiona została jego koncepcja. Nie wiemy z jakich prac będzie się składała, jaka będzie szata graficzna i najważniejsze jakie będą tam zawarte treści. Dopiero po tych uzgodnieniach można przyjąć zadanie do realizacji. Wydatkowanie środków publicznych na koncepcję albumu wydaje się w tym przypadku pod względem gospodarowania nimi nieracjonalne. Przepis, Uchwała Nr 85/19 Rady Miejskiej w Świeciu z dnia 11 lipca 2019 roku w sprawie Budżetu Obywatelskiego gminy Świecie - § 6 pkt 12.</w:t>
            </w:r>
          </w:p>
        </w:tc>
      </w:tr>
      <w:tr w:rsidR="00404241" w:rsidRPr="00404241" w:rsidTr="00404241">
        <w:trPr>
          <w:trHeight w:val="1815"/>
        </w:trPr>
        <w:tc>
          <w:tcPr>
            <w:tcW w:w="602" w:type="dxa"/>
            <w:hideMark/>
          </w:tcPr>
          <w:p w:rsidR="00404241" w:rsidRPr="00404241" w:rsidRDefault="00404241" w:rsidP="00404241">
            <w:pPr>
              <w:rPr>
                <w:rFonts w:ascii="Arial Narrow" w:hAnsi="Arial Narrow"/>
                <w:i/>
                <w:iCs/>
              </w:rPr>
            </w:pPr>
            <w:r>
              <w:rPr>
                <w:rFonts w:ascii="Arial Narrow" w:hAnsi="Arial Narrow"/>
                <w:i/>
                <w:iCs/>
              </w:rPr>
              <w:t>9</w:t>
            </w:r>
          </w:p>
        </w:tc>
        <w:tc>
          <w:tcPr>
            <w:tcW w:w="1606"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 xml:space="preserve">Bogdan </w:t>
            </w:r>
            <w:proofErr w:type="spellStart"/>
            <w:r w:rsidRPr="00404241">
              <w:rPr>
                <w:rFonts w:ascii="Arial Narrow" w:hAnsi="Arial Narrow"/>
                <w:i/>
                <w:iCs/>
              </w:rPr>
              <w:t>Petluk</w:t>
            </w:r>
            <w:proofErr w:type="spellEnd"/>
          </w:p>
        </w:tc>
        <w:tc>
          <w:tcPr>
            <w:tcW w:w="2182"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1. Ustawienie dwóch ławeczek. 2. Stworzenie radia internetowego. 3. Ścieżka spacerowa na ulicy Nabrzeżnej.</w:t>
            </w:r>
          </w:p>
        </w:tc>
        <w:tc>
          <w:tcPr>
            <w:tcW w:w="1275"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105 000,00</w:t>
            </w:r>
          </w:p>
        </w:tc>
        <w:tc>
          <w:tcPr>
            <w:tcW w:w="1134" w:type="dxa"/>
            <w:vAlign w:val="center"/>
            <w:hideMark/>
          </w:tcPr>
          <w:p w:rsidR="00404241" w:rsidRPr="00404241" w:rsidRDefault="00404241" w:rsidP="00404241">
            <w:pPr>
              <w:jc w:val="center"/>
              <w:rPr>
                <w:rFonts w:ascii="Arial Narrow" w:hAnsi="Arial Narrow"/>
                <w:i/>
                <w:iCs/>
              </w:rPr>
            </w:pPr>
            <w:r w:rsidRPr="00404241">
              <w:rPr>
                <w:rFonts w:ascii="Arial Narrow" w:hAnsi="Arial Narrow"/>
                <w:i/>
                <w:iCs/>
              </w:rPr>
              <w:t>0,00</w:t>
            </w:r>
          </w:p>
        </w:tc>
        <w:tc>
          <w:tcPr>
            <w:tcW w:w="3402" w:type="dxa"/>
            <w:hideMark/>
          </w:tcPr>
          <w:p w:rsidR="00404241" w:rsidRPr="003F57B0" w:rsidRDefault="00404241">
            <w:pPr>
              <w:rPr>
                <w:rFonts w:ascii="Arial Narrow" w:hAnsi="Arial Narrow"/>
                <w:i/>
                <w:iCs/>
                <w:sz w:val="20"/>
                <w:szCs w:val="20"/>
              </w:rPr>
            </w:pPr>
            <w:r w:rsidRPr="003F57B0">
              <w:rPr>
                <w:rFonts w:ascii="Arial Narrow" w:hAnsi="Arial Narrow"/>
                <w:i/>
                <w:iCs/>
                <w:sz w:val="20"/>
                <w:szCs w:val="20"/>
              </w:rPr>
              <w:t>Opinia negatywna. Wniosek wpłynął na nieprawidłowym druku, brak listy poparcia projektu. Uchwała Nr 85/19 Rady Miejskiej w Świeciu z dnia 11 lipca 2019 roku § 7 pkt 6.</w:t>
            </w:r>
          </w:p>
        </w:tc>
      </w:tr>
    </w:tbl>
    <w:p w:rsidR="00404241" w:rsidRDefault="00404241">
      <w:pPr>
        <w:rPr>
          <w:rFonts w:ascii="Arial Narrow" w:hAnsi="Arial Narrow"/>
        </w:rPr>
      </w:pPr>
    </w:p>
    <w:p w:rsidR="004B7A43" w:rsidRDefault="004B7A43">
      <w:pPr>
        <w:rPr>
          <w:rFonts w:ascii="Arial Narrow" w:hAnsi="Arial Narrow"/>
        </w:rPr>
      </w:pPr>
      <w:r>
        <w:rPr>
          <w:rFonts w:ascii="Arial Narrow" w:hAnsi="Arial Narrow"/>
        </w:rPr>
        <w:t>Świecie, dnia 31sierpnia 2022 roku</w:t>
      </w:r>
    </w:p>
    <w:p w:rsidR="004B7A43" w:rsidRDefault="004B7A43">
      <w:pPr>
        <w:rPr>
          <w:rFonts w:ascii="Arial Narrow" w:hAnsi="Arial Narrow"/>
        </w:rPr>
      </w:pPr>
    </w:p>
    <w:p w:rsidR="004B7A43" w:rsidRDefault="004B7A43" w:rsidP="004B7A43">
      <w:pPr>
        <w:ind w:left="6379"/>
        <w:jc w:val="center"/>
        <w:rPr>
          <w:rFonts w:ascii="Arial Narrow" w:hAnsi="Arial Narrow"/>
        </w:rPr>
      </w:pPr>
      <w:r>
        <w:rPr>
          <w:rFonts w:ascii="Arial Narrow" w:hAnsi="Arial Narrow"/>
        </w:rPr>
        <w:t>Burmistrz Świecia</w:t>
      </w:r>
    </w:p>
    <w:p w:rsidR="004B7A43" w:rsidRDefault="004B7A43" w:rsidP="004B7A43">
      <w:pPr>
        <w:ind w:left="6379"/>
        <w:jc w:val="center"/>
        <w:rPr>
          <w:rFonts w:ascii="Arial Narrow" w:hAnsi="Arial Narrow"/>
        </w:rPr>
      </w:pPr>
    </w:p>
    <w:p w:rsidR="004B7A43" w:rsidRPr="00404241" w:rsidRDefault="004B7A43" w:rsidP="004B7A43">
      <w:pPr>
        <w:ind w:left="6379"/>
        <w:jc w:val="center"/>
        <w:rPr>
          <w:rFonts w:ascii="Arial Narrow" w:hAnsi="Arial Narrow"/>
        </w:rPr>
      </w:pPr>
      <w:r>
        <w:rPr>
          <w:rFonts w:ascii="Arial Narrow" w:hAnsi="Arial Narrow"/>
        </w:rPr>
        <w:t>Krzysztof Kułakowski</w:t>
      </w:r>
    </w:p>
    <w:sectPr w:rsidR="004B7A43" w:rsidRPr="00404241" w:rsidSect="00354EBC">
      <w:pgSz w:w="11906" w:h="16838" w:code="9"/>
      <w:pgMar w:top="1134" w:right="1134" w:bottom="1134" w:left="1134" w:header="0" w:footer="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41"/>
    <w:rsid w:val="002644F0"/>
    <w:rsid w:val="00346600"/>
    <w:rsid w:val="00354EBC"/>
    <w:rsid w:val="003F57B0"/>
    <w:rsid w:val="003F694E"/>
    <w:rsid w:val="00404241"/>
    <w:rsid w:val="004B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27EEA-E8FA-45FB-BCDF-9981C63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793</Words>
  <Characters>4758</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Żurek</dc:creator>
  <cp:keywords/>
  <dc:description/>
  <cp:lastModifiedBy>Leszek Żurek</cp:lastModifiedBy>
  <cp:revision>4</cp:revision>
  <dcterms:created xsi:type="dcterms:W3CDTF">2022-09-01T11:15:00Z</dcterms:created>
  <dcterms:modified xsi:type="dcterms:W3CDTF">2022-09-01T11:31:00Z</dcterms:modified>
</cp:coreProperties>
</file>